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B" w:rsidRDefault="004D069B" w:rsidP="004D06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069B">
        <w:rPr>
          <w:rFonts w:ascii="Times New Roman" w:hAnsi="Times New Roman" w:cs="Times New Roman"/>
          <w:b/>
          <w:sz w:val="56"/>
          <w:szCs w:val="56"/>
        </w:rPr>
        <w:t xml:space="preserve">Выставка детских работ </w:t>
      </w:r>
    </w:p>
    <w:p w:rsidR="00861BA5" w:rsidRPr="004D069B" w:rsidRDefault="004D069B" w:rsidP="004D06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069B">
        <w:rPr>
          <w:rFonts w:ascii="Times New Roman" w:hAnsi="Times New Roman" w:cs="Times New Roman"/>
          <w:b/>
          <w:sz w:val="56"/>
          <w:szCs w:val="56"/>
        </w:rPr>
        <w:t>«С ПРАЗДНИКОМ ВЕСНЫ»</w:t>
      </w:r>
    </w:p>
    <w:p w:rsidR="004D069B" w:rsidRDefault="004D069B" w:rsidP="004D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10A92">
        <w:rPr>
          <w:rFonts w:ascii="Times New Roman" w:hAnsi="Times New Roman" w:cs="Times New Roman"/>
          <w:sz w:val="40"/>
          <w:szCs w:val="40"/>
        </w:rPr>
        <w:t xml:space="preserve">Задачи:  </w:t>
      </w:r>
    </w:p>
    <w:p w:rsidR="004D069B" w:rsidRPr="00D10A92" w:rsidRDefault="004D069B" w:rsidP="004D06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раскрытие индивидуальных творческих способностей;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развитие и реализация творческих способностей;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 xml:space="preserve">развитие чувства вкуса к </w:t>
      </w:r>
      <w:proofErr w:type="gramStart"/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прекрасному</w:t>
      </w:r>
      <w:proofErr w:type="gramEnd"/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развитие творческого потенциала;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развитие художественных способностей;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развитие воображения и фантазии;</w:t>
      </w:r>
    </w:p>
    <w:p w:rsidR="004D069B" w:rsidRPr="00D10A92" w:rsidRDefault="004D069B" w:rsidP="004D069B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D10A92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привлечение детей и подростков к творчеству.</w:t>
      </w:r>
    </w:p>
    <w:p w:rsidR="004D069B" w:rsidRDefault="004D069B" w:rsidP="004D069B">
      <w:pPr>
        <w:jc w:val="center"/>
      </w:pPr>
      <w:r>
        <w:rPr>
          <w:noProof/>
          <w:lang w:eastAsia="ru-RU"/>
        </w:rPr>
        <w:drawing>
          <wp:inline distT="0" distB="0" distL="0" distR="0" wp14:anchorId="347FC983" wp14:editId="256264DB">
            <wp:extent cx="3402101" cy="4536377"/>
            <wp:effectExtent l="0" t="0" r="8255" b="0"/>
            <wp:docPr id="2" name="Рисунок 2" descr="H:\открытый конкурс 23 и 8 марта 2015\Новая папка (2)\SDC1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ытый конкурс 23 и 8 марта 2015\Новая папка (2)\SDC17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90" cy="45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9B" w:rsidRDefault="004D069B" w:rsidP="004D069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03628" cy="3829212"/>
            <wp:effectExtent l="0" t="0" r="1905" b="0"/>
            <wp:docPr id="4" name="Рисунок 4" descr="H:\открытый конкурс 23 и 8 марта 2015\Новая папка (2)\SDC1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ткрытый конкурс 23 и 8 марта 2015\Новая папка (2)\SDC177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17" cy="38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069B" w:rsidRDefault="004D069B" w:rsidP="004D069B">
      <w:pPr>
        <w:jc w:val="center"/>
      </w:pPr>
    </w:p>
    <w:p w:rsidR="004D069B" w:rsidRDefault="004D069B" w:rsidP="004D06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2484" cy="3940899"/>
            <wp:effectExtent l="0" t="0" r="5715" b="2540"/>
            <wp:docPr id="3" name="Рисунок 3" descr="H:\открытый конкурс 23 и 8 марта 2015\Новая папка (2)\SDC1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крытый конкурс 23 и 8 марта 2015\Новая папка (2)\SDC17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18" cy="39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88"/>
    <w:multiLevelType w:val="multilevel"/>
    <w:tmpl w:val="E594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07410"/>
    <w:multiLevelType w:val="hybridMultilevel"/>
    <w:tmpl w:val="D87C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C"/>
    <w:rsid w:val="004D069B"/>
    <w:rsid w:val="00861BA5"/>
    <w:rsid w:val="009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2015-03-12T06:59:00Z</dcterms:created>
  <dcterms:modified xsi:type="dcterms:W3CDTF">2015-03-12T07:02:00Z</dcterms:modified>
</cp:coreProperties>
</file>